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1007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г. Сургут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30 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судь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 - Югр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М.Б. Бордунов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30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Курячего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Е.В.,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предусмотренном ч.1 ст. 12.34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должностного лица 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24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OrganizationNamegrp-23rplc-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Курячего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Евгения Валерьевича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3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>
        <w:rPr>
          <w:rStyle w:val="cat-Addressgrp-4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2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4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07.04.2025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6rplc-19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установлено, что </w:t>
      </w:r>
      <w:r>
        <w:rPr>
          <w:rStyle w:val="cat-UserDefinedgrp-3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23rplc-2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Курячий Е.В.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лицом, на которое возложена обязанность по содержанию автомобильной дороги «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Подъезд к </w:t>
      </w:r>
      <w:r>
        <w:rPr>
          <w:rStyle w:val="cat-Addressgrp-6rplc-2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 в соответствии с требованиями нормативов и стандартов в области безопасности дорожного движения, не выполнил требования по обеспечению безопасности дорожного движения при содержании автомоби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льной дороги, а именно допустил образование следующих дефектов эксплуатационного состояния: в пределах Узла № 2, на участке км 45+138 автомобильной дороги «Подъезд к </w:t>
      </w:r>
      <w:r>
        <w:rPr>
          <w:rStyle w:val="cat-Addressgrp-5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отсутствие разметки 1.7, 1.1, утвержденной проектом организации дорожного движения.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Курячий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заседа</w:t>
      </w:r>
      <w:r>
        <w:rPr>
          <w:rFonts w:ascii="Times New Roman" w:eastAsia="Times New Roman" w:hAnsi="Times New Roman" w:cs="Times New Roman"/>
          <w:sz w:val="25"/>
          <w:szCs w:val="25"/>
        </w:rPr>
        <w:t>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материалы дела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приходит к следующему.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ст.12 Федерального закона от 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декабря 1995 г. N 196-ФЗ "О безопасности дорожного движения" ремонт и содержание дорог на </w:t>
      </w:r>
      <w:r>
        <w:rPr>
          <w:rStyle w:val="cat-Addressgrp-7rplc-2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17 Федерального закона N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с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от 23 октября 1993 г. 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</w:t>
      </w:r>
      <w:r>
        <w:rPr>
          <w:rFonts w:ascii="Times New Roman" w:eastAsia="Times New Roman" w:hAnsi="Times New Roman" w:cs="Times New Roman"/>
          <w:sz w:val="25"/>
          <w:szCs w:val="25"/>
        </w:rPr>
        <w:t>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с. п. 6.3.1 ГОСТ </w:t>
      </w:r>
      <w:r>
        <w:rPr>
          <w:rStyle w:val="cat-PhoneNumbergrp-27rplc-2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дороги и улицы должны иметь дорожную разметку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ГОСТ 32953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форма, размеры и цвет которой должны соответствовать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ГОСТ Р 51256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. Разметка должна быть нанесена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ГОСТ Р 52289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утвержденным проектом (схемой) организации дорожного движения.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Должностные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– дополнительно красными или желтыми сигнальными огнями.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</w:rPr>
        <w:t>Курячего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доказана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09.04.2025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приказа о приеме работника на работу;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должностной инструкции мастера </w:t>
      </w:r>
      <w:r>
        <w:rPr>
          <w:rStyle w:val="cat-UserDefinedgrp-3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23rplc-33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карточкой </w:t>
      </w:r>
      <w:r>
        <w:rPr>
          <w:rStyle w:val="cat-OrganizationNamegrp-25rplc-3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копией государственного контракта № 10/22/222 на выполнение работ по содержанию автомобильных дорог общего пользования регионального или межмуниципального значения ХМАО-Югры и сооружений на них с приложениями к нему;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инструментального обследования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07.04.2025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фотографиями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о проведении постоянного рейда при осуществлении федерального государственного контроля (надзора) в области </w:t>
      </w:r>
      <w:r>
        <w:rPr>
          <w:rFonts w:ascii="Times New Roman" w:eastAsia="Times New Roman" w:hAnsi="Times New Roman" w:cs="Times New Roman"/>
          <w:sz w:val="25"/>
          <w:szCs w:val="25"/>
        </w:rPr>
        <w:t>безопасности дорожного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Совокупность доказательств позволяет мировому судье сделать вывод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Курячего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12.34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Курячего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12.34 КоАП РФ – несоблюдение требований по обеспечению безопасности дорожного движения при содержании дорог, железнодорожных переездов или других дорожных сооружений, если пользование такими участками угрожает безопасности дорожного движения.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бстоятельств,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Оснований для назначения наказания в виде административного штрафа в размере менее минимального размера,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соответствии с ч.3.2, 3.3 ст.4.1 КоАП РФ, суд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Курячего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Евгения Валерьевича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12.34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и подвергнуть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двадцати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тысяч) </w:t>
      </w:r>
      <w:r>
        <w:rPr>
          <w:rFonts w:ascii="Times New Roman" w:eastAsia="Times New Roman" w:hAnsi="Times New Roman" w:cs="Times New Roman"/>
          <w:sz w:val="25"/>
          <w:szCs w:val="25"/>
        </w:rPr>
        <w:t>рублей.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</w:t>
      </w:r>
      <w:r>
        <w:rPr>
          <w:rFonts w:ascii="Times New Roman" w:eastAsia="Times New Roman" w:hAnsi="Times New Roman" w:cs="Times New Roman"/>
          <w:sz w:val="25"/>
          <w:szCs w:val="25"/>
        </w:rPr>
        <w:t>го значения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Сургута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1007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О.П. Куликова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номер счета получателя платежа 03100643000000018700 в РКЦ Ханты-Мансийск; БИК </w:t>
      </w:r>
      <w:r>
        <w:rPr>
          <w:rStyle w:val="cat-PhoneNumbergrp-28rplc-44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ОКТМО </w:t>
      </w:r>
      <w:r>
        <w:rPr>
          <w:rStyle w:val="cat-PhoneNumbergrp-29rplc-45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ИНН </w:t>
      </w:r>
      <w:r>
        <w:rPr>
          <w:rStyle w:val="cat-PhoneNumbergrp-30rplc-46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КПП </w:t>
      </w:r>
      <w:r>
        <w:rPr>
          <w:rStyle w:val="cat-PhoneNumbergrp-31rplc-47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КБК 1881160112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010001140;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УИН </w:t>
      </w:r>
      <w:r>
        <w:rPr>
          <w:rFonts w:ascii="Times New Roman" w:eastAsia="Times New Roman" w:hAnsi="Times New Roman" w:cs="Times New Roman"/>
          <w:sz w:val="16"/>
          <w:szCs w:val="16"/>
        </w:rPr>
        <w:t>188104862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7400</w:t>
      </w:r>
      <w:r>
        <w:rPr>
          <w:rFonts w:ascii="Times New Roman" w:eastAsia="Times New Roman" w:hAnsi="Times New Roman" w:cs="Times New Roman"/>
          <w:sz w:val="16"/>
          <w:szCs w:val="16"/>
        </w:rPr>
        <w:t>05889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</w:t>
      </w:r>
      <w:r>
        <w:rPr>
          <w:rFonts w:ascii="PT Sans" w:eastAsia="PT Sans" w:hAnsi="PT Sans" w:cs="PT Sans"/>
          <w:sz w:val="16"/>
          <w:szCs w:val="16"/>
        </w:rPr>
        <w:t>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уплате в течение 60 дней с даты вступления постановления в законную силу, копия квитанции предоставляется в 105 </w:t>
      </w:r>
      <w:r>
        <w:rPr>
          <w:rFonts w:ascii="Times New Roman" w:eastAsia="Times New Roman" w:hAnsi="Times New Roman" w:cs="Times New Roman"/>
          <w:sz w:val="16"/>
          <w:szCs w:val="16"/>
        </w:rPr>
        <w:t>каб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д.9 </w:t>
      </w:r>
      <w:r>
        <w:rPr>
          <w:rStyle w:val="cat-Addressgrp-8rplc-48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г. Сургута.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OrganizationNamegrp-24rplc-8">
    <w:name w:val="cat-OrganizationName grp-24 rplc-8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ExternalSystemDefinedgrp-32rplc-16">
    <w:name w:val="cat-ExternalSystemDefined grp-32 rplc-16"/>
    <w:basedOn w:val="DefaultParagraphFont"/>
  </w:style>
  <w:style w:type="character" w:customStyle="1" w:styleId="cat-ExternalSystemDefinedgrp-34rplc-17">
    <w:name w:val="cat-ExternalSystemDefined grp-34 rplc-17"/>
    <w:basedOn w:val="DefaultParagraphFont"/>
  </w:style>
  <w:style w:type="character" w:customStyle="1" w:styleId="cat-Timegrp-26rplc-19">
    <w:name w:val="cat-Time grp-26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OrganizationNamegrp-23rplc-21">
    <w:name w:val="cat-OrganizationName grp-23 rplc-21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PhoneNumbergrp-27rplc-29">
    <w:name w:val="cat-PhoneNumber grp-27 rplc-29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OrganizationNamegrp-23rplc-33">
    <w:name w:val="cat-OrganizationName grp-23 rplc-33"/>
    <w:basedOn w:val="DefaultParagraphFont"/>
  </w:style>
  <w:style w:type="character" w:customStyle="1" w:styleId="cat-OrganizationNamegrp-25rplc-34">
    <w:name w:val="cat-OrganizationName grp-25 rplc-34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8rplc-48">
    <w:name w:val="cat-Address grp-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91466.0" TargetMode="External" /><Relationship Id="rId5" Type="http://schemas.openxmlformats.org/officeDocument/2006/relationships/hyperlink" Target="garantF1://70123578.0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